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F1FC" w14:textId="77777777" w:rsidR="008F2B77" w:rsidRPr="006D2533" w:rsidRDefault="00DD52D2">
      <w:pPr>
        <w:rPr>
          <w:rFonts w:ascii="Times New Roman" w:hAnsi="Times New Roman" w:cs="Times New Roman"/>
          <w:sz w:val="28"/>
          <w:szCs w:val="28"/>
        </w:rPr>
      </w:pPr>
      <w:r w:rsidRPr="006D2533">
        <w:rPr>
          <w:rFonts w:ascii="Times New Roman" w:hAnsi="Times New Roman" w:cs="Times New Roman"/>
          <w:sz w:val="28"/>
          <w:szCs w:val="28"/>
        </w:rPr>
        <w:t>附件</w:t>
      </w:r>
      <w:r w:rsidRPr="006D2533">
        <w:rPr>
          <w:rFonts w:ascii="Times New Roman" w:hAnsi="Times New Roman" w:cs="Times New Roman"/>
          <w:sz w:val="28"/>
          <w:szCs w:val="28"/>
        </w:rPr>
        <w:t>1</w:t>
      </w:r>
      <w:r w:rsidRPr="006D2533">
        <w:rPr>
          <w:rFonts w:ascii="Times New Roman" w:hAnsi="Times New Roman" w:cs="Times New Roman"/>
          <w:sz w:val="28"/>
          <w:szCs w:val="28"/>
        </w:rPr>
        <w:t>：</w:t>
      </w:r>
    </w:p>
    <w:p w14:paraId="4D0F0F69" w14:textId="77777777" w:rsidR="008F2B77" w:rsidRPr="006D2533" w:rsidRDefault="008F2B77">
      <w:pPr>
        <w:rPr>
          <w:rFonts w:ascii="Times New Roman" w:hAnsi="Times New Roman" w:cs="Times New Roman"/>
          <w:sz w:val="28"/>
          <w:szCs w:val="28"/>
        </w:rPr>
      </w:pPr>
    </w:p>
    <w:p w14:paraId="55CF1831" w14:textId="77777777" w:rsidR="008F2B77" w:rsidRPr="006D2533" w:rsidRDefault="00DD52D2">
      <w:pPr>
        <w:spacing w:line="600" w:lineRule="exact"/>
        <w:ind w:firstLineChars="100" w:firstLine="440"/>
        <w:jc w:val="center"/>
        <w:rPr>
          <w:rFonts w:ascii="黑体" w:eastAsia="黑体" w:hAnsi="黑体" w:cs="Times New Roman"/>
          <w:sz w:val="44"/>
          <w:szCs w:val="44"/>
        </w:rPr>
      </w:pPr>
      <w:r w:rsidRPr="006D2533">
        <w:rPr>
          <w:rFonts w:ascii="黑体" w:eastAsia="黑体" w:hAnsi="黑体" w:cs="Times New Roman"/>
          <w:sz w:val="44"/>
          <w:szCs w:val="44"/>
        </w:rPr>
        <w:t>汕头</w:t>
      </w:r>
      <w:r w:rsidRPr="006D2533">
        <w:rPr>
          <w:rFonts w:ascii="黑体" w:eastAsia="黑体" w:hAnsi="黑体" w:cs="Times New Roman" w:hint="eastAsia"/>
          <w:sz w:val="44"/>
          <w:szCs w:val="44"/>
        </w:rPr>
        <w:t>技师</w:t>
      </w:r>
      <w:r w:rsidRPr="006D2533">
        <w:rPr>
          <w:rFonts w:ascii="黑体" w:eastAsia="黑体" w:hAnsi="黑体" w:cs="Times New Roman"/>
          <w:sz w:val="44"/>
          <w:szCs w:val="44"/>
        </w:rPr>
        <w:t>学院银行</w:t>
      </w:r>
      <w:r w:rsidRPr="006D2533">
        <w:rPr>
          <w:rFonts w:ascii="黑体" w:eastAsia="黑体" w:hAnsi="黑体" w:cs="Times New Roman" w:hint="eastAsia"/>
          <w:sz w:val="44"/>
          <w:szCs w:val="44"/>
        </w:rPr>
        <w:t>投资</w:t>
      </w:r>
      <w:r w:rsidRPr="006D2533">
        <w:rPr>
          <w:rFonts w:ascii="黑体" w:eastAsia="黑体" w:hAnsi="黑体" w:cs="Times New Roman"/>
          <w:sz w:val="44"/>
          <w:szCs w:val="44"/>
        </w:rPr>
        <w:t>合作项目需求书</w:t>
      </w:r>
    </w:p>
    <w:p w14:paraId="04E002F8" w14:textId="77777777" w:rsidR="008F2B77" w:rsidRPr="006D2533" w:rsidRDefault="008F2B77">
      <w:pPr>
        <w:rPr>
          <w:rFonts w:ascii="Times New Roman" w:hAnsi="Times New Roman" w:cs="Times New Roman"/>
          <w:sz w:val="28"/>
          <w:szCs w:val="28"/>
        </w:rPr>
      </w:pPr>
    </w:p>
    <w:p w14:paraId="20DE9E8A" w14:textId="77777777" w:rsidR="008F2B77" w:rsidRPr="006D2533" w:rsidRDefault="00DD52D2">
      <w:pPr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6D2533">
        <w:rPr>
          <w:rFonts w:ascii="Times New Roman" w:eastAsia="方正黑体简体" w:hAnsi="Times New Roman" w:cs="Times New Roman"/>
          <w:sz w:val="30"/>
          <w:szCs w:val="30"/>
        </w:rPr>
        <w:t>一、学校基本概况</w:t>
      </w:r>
    </w:p>
    <w:p w14:paraId="1774E1B0" w14:textId="77777777" w:rsidR="008F2B77" w:rsidRPr="006D2533" w:rsidRDefault="00DD52D2">
      <w:pPr>
        <w:ind w:firstLineChars="200" w:firstLine="600"/>
        <w:rPr>
          <w:rFonts w:ascii="Times New Roman" w:eastAsia="方正楷体简体" w:hAnsi="Times New Roman" w:cs="Times New Roman"/>
          <w:sz w:val="30"/>
          <w:szCs w:val="30"/>
        </w:rPr>
      </w:pPr>
      <w:r w:rsidRPr="006D2533">
        <w:rPr>
          <w:rFonts w:ascii="Times New Roman" w:eastAsia="方正楷体简体" w:hAnsi="Times New Roman" w:cs="Times New Roman"/>
          <w:sz w:val="30"/>
          <w:szCs w:val="30"/>
        </w:rPr>
        <w:t>（一）概况</w:t>
      </w:r>
    </w:p>
    <w:p w14:paraId="7A02D056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1.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历史沿革</w:t>
      </w:r>
    </w:p>
    <w:p w14:paraId="58FF644F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汕头技师学院是经广东省人民政府批准设立，以培养高级技工、技师学历教育为主的国家重点技工院校。学院创建于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1963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年，是粤东地区最早创办的全日制公办技工院校。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2019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年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12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月，汕头市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外语外贸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职业技术学校、汕头市纺织服装职业技术学校整体并入我院，办学实力进一步提升。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2018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年经省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人社厅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批准，学院与以色列航空工业公司（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IAI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）联合创办了汕头民用航空职业技能培训学院，培养飞机维修等航空类高技能人才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。学院办学历史追溯至今约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60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多年，累计培养各类人才约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万人。</w:t>
      </w:r>
    </w:p>
    <w:p w14:paraId="58B80849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2.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发展基础</w:t>
      </w:r>
    </w:p>
    <w:p w14:paraId="2722AD57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）占地面积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及实训室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：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学院目前占地面积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亩，包括南校、金新两个校区，总建筑面积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14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万平方米。拥有国家级汽车专业高技能人才实训中心、智能制造应用技术高技能实训基地、机电一体化实训中心、制冷技术实训室、室内设计实训室、烹饪实训中心、计算机网络实训室、物联网实训中心等教学实训场所，实习实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训设备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价值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亿多元。已建成飞机维修教学实训基地和精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密零部件加工创业孵化基地，重点培养高端装备制造业高技能人才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7860ADC1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教学部门及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在校学生：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学院设立航空系、机电工程系、信息工程系、设计系、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商贸系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和烹饪系六个专业系，常设专业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20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多个，其中，机电一体化技术、机械设备装配与自动控制、电气自动化设备安装与维修、烹饪、计算机网络应用、电子商务、室内设计、飞机维修、跨境电商等专业为学院的品牌专业。培养层次包括中级技工、高级技工、预备技师等，在校学生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6000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多人。</w:t>
      </w:r>
    </w:p>
    <w:p w14:paraId="2FF6CC6F" w14:textId="71CEFBD8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学院现有教职工</w:t>
      </w:r>
      <w:r w:rsidR="00D377D4" w:rsidRPr="006D2533">
        <w:rPr>
          <w:rFonts w:ascii="Times New Roman" w:eastAsia="方正仿宋简体" w:hAnsi="Times New Roman" w:cs="Times New Roman"/>
          <w:sz w:val="30"/>
          <w:szCs w:val="30"/>
        </w:rPr>
        <w:t>345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名。其中副高以上职称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55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人，技师、高级技师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85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人。享受国务院特殊津贴专家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名，南粤优秀教师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名，全国技术能手、南粤技术能手、广东省技术能手和汕头市技术能手共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20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多名。</w:t>
      </w:r>
    </w:p>
    <w:p w14:paraId="2A0D99F7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学院高举习近平新时代中国特色社会主义思想伟大旗帜，全面贯彻党的教育方针，围绕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“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立德树人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”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根本任务，秉承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“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厚德、精湛、求实、创新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”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校训精神，实施质量立校、人才强校、文化塑校、特色兴校战略，坚持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“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育人为本、德育为先、能力为重、素质为要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”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的育人理念，着力增强受教育者的社会责任感、创新精神、实践能力，努力培养德智体美全面发展的高素质、高技能、高技术的职业化应用型人才。</w:t>
      </w:r>
    </w:p>
    <w:p w14:paraId="66D851D3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（二）学校银行账户开具、存款情况</w:t>
      </w:r>
    </w:p>
    <w:p w14:paraId="13C7F53B" w14:textId="77777777" w:rsidR="000419AD" w:rsidRPr="006D2533" w:rsidRDefault="000419AD" w:rsidP="000419AD">
      <w:pPr>
        <w:pStyle w:val="a0"/>
      </w:pPr>
    </w:p>
    <w:p w14:paraId="60FE38D7" w14:textId="77777777" w:rsidR="007343BE" w:rsidRPr="006D2533" w:rsidRDefault="007343BE" w:rsidP="007343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938"/>
        <w:gridCol w:w="1870"/>
        <w:gridCol w:w="1656"/>
        <w:gridCol w:w="1656"/>
      </w:tblGrid>
      <w:tr w:rsidR="006D2533" w:rsidRPr="006D2533" w14:paraId="628FE7EC" w14:textId="77777777" w:rsidTr="007343BE">
        <w:trPr>
          <w:trHeight w:val="720"/>
        </w:trPr>
        <w:tc>
          <w:tcPr>
            <w:tcW w:w="709" w:type="pct"/>
            <w:vMerge w:val="restart"/>
            <w:shd w:val="clear" w:color="auto" w:fill="auto"/>
            <w:noWrap/>
            <w:vAlign w:val="center"/>
            <w:hideMark/>
          </w:tcPr>
          <w:p w14:paraId="79178949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账户性质</w:t>
            </w:r>
          </w:p>
        </w:tc>
        <w:tc>
          <w:tcPr>
            <w:tcW w:w="1168" w:type="pct"/>
            <w:vMerge w:val="restart"/>
            <w:shd w:val="clear" w:color="auto" w:fill="auto"/>
            <w:noWrap/>
            <w:vAlign w:val="center"/>
            <w:hideMark/>
          </w:tcPr>
          <w:p w14:paraId="16FA9FD8" w14:textId="470A865D" w:rsidR="000419AD" w:rsidRPr="006D2533" w:rsidRDefault="007343BE" w:rsidP="00C61A80">
            <w:pPr>
              <w:widowControl/>
              <w:ind w:rightChars="-87" w:right="-18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开户行</w:t>
            </w:r>
          </w:p>
        </w:tc>
        <w:tc>
          <w:tcPr>
            <w:tcW w:w="3123" w:type="pct"/>
            <w:gridSpan w:val="3"/>
            <w:shd w:val="clear" w:color="auto" w:fill="auto"/>
            <w:noWrap/>
            <w:vAlign w:val="center"/>
            <w:hideMark/>
          </w:tcPr>
          <w:p w14:paraId="27D2F1B8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日均存款（元）</w:t>
            </w:r>
          </w:p>
        </w:tc>
      </w:tr>
      <w:tr w:rsidR="006D2533" w:rsidRPr="006D2533" w14:paraId="0075B5BC" w14:textId="77777777" w:rsidTr="007343BE">
        <w:trPr>
          <w:trHeight w:val="720"/>
        </w:trPr>
        <w:tc>
          <w:tcPr>
            <w:tcW w:w="709" w:type="pct"/>
            <w:vMerge/>
            <w:vAlign w:val="center"/>
            <w:hideMark/>
          </w:tcPr>
          <w:p w14:paraId="45C13EE5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68" w:type="pct"/>
            <w:vMerge/>
            <w:vAlign w:val="center"/>
            <w:hideMark/>
          </w:tcPr>
          <w:p w14:paraId="2196C231" w14:textId="77777777" w:rsidR="000419AD" w:rsidRPr="006D2533" w:rsidRDefault="000419AD" w:rsidP="00C61A80">
            <w:pPr>
              <w:widowControl/>
              <w:ind w:rightChars="-87" w:right="-18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14:paraId="2FA493F7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2020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57CD2D1E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2021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7548AF30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2022</w:t>
            </w:r>
          </w:p>
        </w:tc>
      </w:tr>
      <w:tr w:rsidR="006D2533" w:rsidRPr="006D2533" w14:paraId="0BC70C8D" w14:textId="77777777" w:rsidTr="007343BE">
        <w:trPr>
          <w:trHeight w:val="720"/>
        </w:trPr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3EC992FC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基本户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5618B566" w14:textId="763FF35A" w:rsidR="000419AD" w:rsidRPr="006D2533" w:rsidRDefault="007343BE" w:rsidP="00C61A80">
            <w:pPr>
              <w:widowControl/>
              <w:ind w:rightChars="-87" w:right="-18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交行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14:paraId="0CF3E5EC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3,284,243.70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03C83660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3,928,811.63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32DAB7B9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7,413,109.48</w:t>
            </w:r>
          </w:p>
        </w:tc>
      </w:tr>
      <w:tr w:rsidR="007343BE" w:rsidRPr="006D2533" w14:paraId="4F967488" w14:textId="77777777" w:rsidTr="007343BE">
        <w:trPr>
          <w:trHeight w:val="720"/>
        </w:trPr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6E39369E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代收付户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14:paraId="23F12A7C" w14:textId="77777777" w:rsidR="000419AD" w:rsidRPr="006D2533" w:rsidRDefault="000419AD" w:rsidP="00C61A80">
            <w:pPr>
              <w:widowControl/>
              <w:ind w:rightChars="-87" w:right="-183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建行</w:t>
            </w:r>
          </w:p>
        </w:tc>
        <w:tc>
          <w:tcPr>
            <w:tcW w:w="1127" w:type="pct"/>
            <w:shd w:val="clear" w:color="auto" w:fill="auto"/>
            <w:noWrap/>
            <w:vAlign w:val="center"/>
            <w:hideMark/>
          </w:tcPr>
          <w:p w14:paraId="75F79DDA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1,119,763.97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376FA6FC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1,163,468.84</w:t>
            </w:r>
          </w:p>
        </w:tc>
        <w:tc>
          <w:tcPr>
            <w:tcW w:w="998" w:type="pct"/>
            <w:shd w:val="clear" w:color="auto" w:fill="auto"/>
            <w:noWrap/>
            <w:vAlign w:val="center"/>
            <w:hideMark/>
          </w:tcPr>
          <w:p w14:paraId="5165F5E0" w14:textId="77777777" w:rsidR="000419AD" w:rsidRPr="006D2533" w:rsidRDefault="000419AD" w:rsidP="000419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1,078,502.69</w:t>
            </w:r>
          </w:p>
        </w:tc>
      </w:tr>
    </w:tbl>
    <w:p w14:paraId="5A015D4C" w14:textId="77777777" w:rsidR="008F2B77" w:rsidRPr="006D2533" w:rsidRDefault="008F2B77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14:paraId="016508ED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（三）教职工近三年薪资水平、银行代发工资情况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2268"/>
        <w:gridCol w:w="2205"/>
      </w:tblGrid>
      <w:tr w:rsidR="006D2533" w:rsidRPr="006D2533" w14:paraId="30BF2AA5" w14:textId="77777777" w:rsidTr="007343BE">
        <w:trPr>
          <w:trHeight w:val="72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172F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年份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2A8F" w14:textId="0A903C51" w:rsidR="001E6CAC" w:rsidRPr="006D2533" w:rsidRDefault="007343BE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代发人数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9609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代发总量（万元）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D6F3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其中：财政代发（万元）</w:t>
            </w: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EF88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银行代发（万元）</w:t>
            </w:r>
          </w:p>
        </w:tc>
      </w:tr>
      <w:tr w:rsidR="006D2533" w:rsidRPr="006D2533" w14:paraId="7C8216EF" w14:textId="77777777" w:rsidTr="007343BE">
        <w:trPr>
          <w:trHeight w:val="7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C78C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2020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03E6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333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7AE" w14:textId="77777777" w:rsidR="001E6CAC" w:rsidRPr="006D2533" w:rsidRDefault="00E90C3A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3141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21FA" w14:textId="77777777" w:rsidR="001E6CAC" w:rsidRPr="006D2533" w:rsidRDefault="00E90C3A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1299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76DF" w14:textId="77777777" w:rsidR="001E6CAC" w:rsidRPr="006D2533" w:rsidRDefault="00E90C3A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1842</w:t>
            </w:r>
          </w:p>
        </w:tc>
      </w:tr>
      <w:tr w:rsidR="006D2533" w:rsidRPr="006D2533" w14:paraId="5565E220" w14:textId="77777777" w:rsidTr="007343BE">
        <w:trPr>
          <w:trHeight w:val="7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B6F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2021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177F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403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497D" w14:textId="77777777" w:rsidR="001E6CAC" w:rsidRPr="006D2533" w:rsidRDefault="00E90C3A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4360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1F0C" w14:textId="77777777" w:rsidR="001E6CAC" w:rsidRPr="006D2533" w:rsidRDefault="00E90C3A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1658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D2A5" w14:textId="77777777" w:rsidR="001E6CAC" w:rsidRPr="006D2533" w:rsidRDefault="00E90C3A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2702</w:t>
            </w:r>
          </w:p>
        </w:tc>
      </w:tr>
      <w:tr w:rsidR="007343BE" w:rsidRPr="006D2533" w14:paraId="1F209905" w14:textId="77777777" w:rsidTr="007343BE">
        <w:trPr>
          <w:trHeight w:val="720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CBD4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2022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5490" w14:textId="77777777" w:rsidR="001E6CAC" w:rsidRPr="006D2533" w:rsidRDefault="001E6CAC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359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0FC45" w14:textId="77777777" w:rsidR="001E6CAC" w:rsidRPr="006D2533" w:rsidRDefault="00E90C3A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4989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A288" w14:textId="77777777" w:rsidR="001E6CAC" w:rsidRPr="006D2533" w:rsidRDefault="00E90C3A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2218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0F7B" w14:textId="77777777" w:rsidR="001E6CAC" w:rsidRPr="006D2533" w:rsidRDefault="00E90C3A" w:rsidP="001E6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6D2533">
              <w:rPr>
                <w:rFonts w:ascii="宋体" w:eastAsia="宋体" w:hAnsi="宋体" w:cs="宋体" w:hint="eastAsia"/>
                <w:kern w:val="0"/>
                <w:sz w:val="24"/>
              </w:rPr>
              <w:t>2771</w:t>
            </w:r>
          </w:p>
        </w:tc>
      </w:tr>
    </w:tbl>
    <w:p w14:paraId="409B20E8" w14:textId="77777777" w:rsidR="001E6CAC" w:rsidRPr="006D2533" w:rsidRDefault="001E6CAC" w:rsidP="001E6CAC">
      <w:pPr>
        <w:pStyle w:val="a0"/>
      </w:pPr>
    </w:p>
    <w:p w14:paraId="1A4A3C70" w14:textId="77777777" w:rsidR="008F2B77" w:rsidRPr="006D2533" w:rsidRDefault="00DD52D2">
      <w:pPr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6D2533">
        <w:rPr>
          <w:rFonts w:ascii="Times New Roman" w:eastAsia="方正黑体简体" w:hAnsi="Times New Roman" w:cs="Times New Roman"/>
          <w:sz w:val="30"/>
          <w:szCs w:val="30"/>
        </w:rPr>
        <w:t>二、项目内容</w:t>
      </w:r>
    </w:p>
    <w:p w14:paraId="2CFD4FE2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宋体" w:eastAsia="宋体" w:hAnsi="宋体" w:cs="宋体" w:hint="eastAsia"/>
          <w:sz w:val="30"/>
          <w:szCs w:val="30"/>
        </w:rPr>
        <w:t>★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汕头技师学院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（学院）与合作银行（银行）开展合作，由合作银行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作为汕头技师学院社保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卡通的投资方，负责汕头技师学院社保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卡通建设的投资、建设和运维等工作。合作银行需于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202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4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底前完成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汕头技师学院社保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卡通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建设，建设项目覆盖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汕头技师学院南校区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、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金新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2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个校区。本项目合作期限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10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年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从合同签订之日起计算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）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0CEE579D" w14:textId="77777777" w:rsidR="008F2B77" w:rsidRPr="006D2533" w:rsidRDefault="00DD52D2">
      <w:pPr>
        <w:ind w:firstLineChars="200" w:firstLine="600"/>
        <w:rPr>
          <w:rFonts w:ascii="Times New Roman" w:eastAsia="方正黑体简体" w:hAnsi="Times New Roman" w:cs="Times New Roman"/>
          <w:sz w:val="30"/>
          <w:szCs w:val="30"/>
        </w:rPr>
      </w:pPr>
      <w:r w:rsidRPr="006D2533">
        <w:rPr>
          <w:rFonts w:ascii="Times New Roman" w:eastAsia="方正黑体简体" w:hAnsi="Times New Roman" w:cs="Times New Roman"/>
          <w:sz w:val="30"/>
          <w:szCs w:val="30"/>
        </w:rPr>
        <w:t>三、商务要求</w:t>
      </w:r>
    </w:p>
    <w:p w14:paraId="2EA3D297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1.</w:t>
      </w:r>
      <w:r w:rsidR="00112CF8" w:rsidRPr="006D2533">
        <w:rPr>
          <w:rFonts w:ascii="Times New Roman" w:eastAsia="方正仿宋简体" w:hAnsi="Times New Roman" w:cs="Times New Roman" w:hint="eastAsia"/>
          <w:sz w:val="30"/>
          <w:szCs w:val="30"/>
        </w:rPr>
        <w:t>学院在合作银行开通基本户及银校账户，为在职教职工办理工资卡和社保卡，入学新生社保卡，在校生社保卡（自愿更换），</w:t>
      </w:r>
      <w:r w:rsidR="00112CF8" w:rsidRPr="006D2533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无社保</w:t>
      </w:r>
      <w:proofErr w:type="gramStart"/>
      <w:r w:rsidR="00112CF8" w:rsidRPr="006D2533">
        <w:rPr>
          <w:rFonts w:ascii="Times New Roman" w:eastAsia="方正仿宋简体" w:hAnsi="Times New Roman" w:cs="Times New Roman" w:hint="eastAsia"/>
          <w:sz w:val="30"/>
          <w:szCs w:val="30"/>
        </w:rPr>
        <w:t>卡学生</w:t>
      </w:r>
      <w:proofErr w:type="gramEnd"/>
      <w:r w:rsidR="00112CF8" w:rsidRPr="006D2533">
        <w:rPr>
          <w:rFonts w:ascii="Times New Roman" w:eastAsia="方正仿宋简体" w:hAnsi="Times New Roman" w:cs="Times New Roman" w:hint="eastAsia"/>
          <w:sz w:val="30"/>
          <w:szCs w:val="30"/>
        </w:rPr>
        <w:t>开通社保卡。</w:t>
      </w:r>
    </w:p>
    <w:p w14:paraId="5DD2B94E" w14:textId="3A18AE5A" w:rsidR="008F2B77" w:rsidRPr="006D2533" w:rsidRDefault="000A679D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DD52D2" w:rsidRPr="006D2533">
        <w:rPr>
          <w:rFonts w:ascii="Times New Roman" w:eastAsia="方正仿宋简体" w:hAnsi="Times New Roman" w:cs="Times New Roman"/>
          <w:sz w:val="30"/>
          <w:szCs w:val="30"/>
        </w:rPr>
        <w:t>.</w:t>
      </w:r>
      <w:r w:rsidR="00DD52D2" w:rsidRPr="006D2533">
        <w:rPr>
          <w:rFonts w:ascii="Times New Roman" w:eastAsia="方正仿宋简体" w:hAnsi="Times New Roman" w:cs="Times New Roman"/>
          <w:sz w:val="30"/>
          <w:szCs w:val="30"/>
        </w:rPr>
        <w:t>学校账户变更必须按程序报财政部门审批，并按照上级规定时间办理。</w:t>
      </w:r>
    </w:p>
    <w:p w14:paraId="781BC5FE" w14:textId="769EDD00" w:rsidR="008F2B77" w:rsidRPr="006D2533" w:rsidRDefault="000A679D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t>3</w:t>
      </w:r>
      <w:r w:rsidR="00DD52D2" w:rsidRPr="006D2533">
        <w:rPr>
          <w:rFonts w:ascii="Times New Roman" w:eastAsia="方正仿宋简体" w:hAnsi="Times New Roman" w:cs="Times New Roman"/>
          <w:sz w:val="30"/>
          <w:szCs w:val="30"/>
        </w:rPr>
        <w:t>.</w:t>
      </w:r>
      <w:r w:rsidR="00DD52D2" w:rsidRPr="006D2533">
        <w:rPr>
          <w:rFonts w:ascii="Times New Roman" w:eastAsia="方正仿宋简体" w:hAnsi="Times New Roman" w:cs="Times New Roman"/>
          <w:sz w:val="30"/>
          <w:szCs w:val="30"/>
        </w:rPr>
        <w:t>合作银行所投资的学校</w:t>
      </w:r>
      <w:r w:rsidR="00DD52D2" w:rsidRPr="006D2533">
        <w:rPr>
          <w:rFonts w:ascii="Times New Roman" w:eastAsia="方正仿宋简体" w:hAnsi="Times New Roman" w:cs="Times New Roman" w:hint="eastAsia"/>
          <w:sz w:val="30"/>
          <w:szCs w:val="30"/>
        </w:rPr>
        <w:t>社保</w:t>
      </w:r>
      <w:proofErr w:type="gramStart"/>
      <w:r w:rsidR="00DD52D2" w:rsidRPr="006D2533"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proofErr w:type="gramEnd"/>
      <w:r w:rsidR="00DD52D2" w:rsidRPr="006D2533">
        <w:rPr>
          <w:rFonts w:ascii="Times New Roman" w:eastAsia="方正仿宋简体" w:hAnsi="Times New Roman" w:cs="Times New Roman" w:hint="eastAsia"/>
          <w:sz w:val="30"/>
          <w:szCs w:val="30"/>
        </w:rPr>
        <w:t>卡通</w:t>
      </w:r>
      <w:r w:rsidR="00DD52D2" w:rsidRPr="006D2533">
        <w:rPr>
          <w:rFonts w:ascii="Times New Roman" w:eastAsia="方正仿宋简体" w:hAnsi="Times New Roman" w:cs="Times New Roman"/>
          <w:sz w:val="30"/>
          <w:szCs w:val="30"/>
        </w:rPr>
        <w:t>内容包括：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3480"/>
        <w:gridCol w:w="1320"/>
        <w:gridCol w:w="1613"/>
      </w:tblGrid>
      <w:tr w:rsidR="006D2533" w:rsidRPr="006D2533" w14:paraId="567975E8" w14:textId="77777777">
        <w:trPr>
          <w:trHeight w:val="497"/>
          <w:jc w:val="center"/>
        </w:trPr>
        <w:tc>
          <w:tcPr>
            <w:tcW w:w="6053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14:paraId="5C878740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社保</w:t>
            </w:r>
            <w:proofErr w:type="gramStart"/>
            <w:r w:rsidRPr="006D2533">
              <w:rPr>
                <w:rFonts w:asciiTheme="minorEastAsia" w:hAnsiTheme="minorEastAsia" w:cs="宋体" w:hint="eastAsia"/>
                <w:sz w:val="24"/>
              </w:rPr>
              <w:t>一</w:t>
            </w:r>
            <w:proofErr w:type="gramEnd"/>
            <w:r w:rsidRPr="006D2533">
              <w:rPr>
                <w:rFonts w:asciiTheme="minorEastAsia" w:hAnsiTheme="minorEastAsia" w:cs="宋体" w:hint="eastAsia"/>
                <w:sz w:val="24"/>
              </w:rPr>
              <w:t>卡通产品名称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65C8455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数量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64D81CD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单位</w:t>
            </w:r>
          </w:p>
        </w:tc>
      </w:tr>
      <w:tr w:rsidR="006D2533" w:rsidRPr="006D2533" w14:paraId="750DC1D5" w14:textId="77777777">
        <w:trPr>
          <w:trHeight w:val="285"/>
          <w:jc w:val="center"/>
        </w:trPr>
        <w:tc>
          <w:tcPr>
            <w:tcW w:w="25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AD165B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基础平台</w:t>
            </w: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73F6910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6D2533">
              <w:rPr>
                <w:rFonts w:asciiTheme="minorEastAsia" w:hAnsiTheme="minorEastAsia" w:cs="宋体" w:hint="eastAsia"/>
                <w:sz w:val="24"/>
              </w:rPr>
              <w:t>一</w:t>
            </w:r>
            <w:proofErr w:type="gramEnd"/>
            <w:r w:rsidRPr="006D2533">
              <w:rPr>
                <w:rFonts w:asciiTheme="minorEastAsia" w:hAnsiTheme="minorEastAsia" w:cs="宋体" w:hint="eastAsia"/>
                <w:sz w:val="24"/>
              </w:rPr>
              <w:t>卡通管理系统升级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6AE7A03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8B677B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套</w:t>
            </w:r>
          </w:p>
        </w:tc>
      </w:tr>
      <w:tr w:rsidR="006D2533" w:rsidRPr="006D2533" w14:paraId="6ACF7A21" w14:textId="77777777">
        <w:trPr>
          <w:trHeight w:val="285"/>
          <w:jc w:val="center"/>
        </w:trPr>
        <w:tc>
          <w:tcPr>
            <w:tcW w:w="25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BD1F4CD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运维稽核平台</w:t>
            </w: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A93005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运维稽核平台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3F799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E5E82DE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套</w:t>
            </w:r>
          </w:p>
        </w:tc>
      </w:tr>
      <w:tr w:rsidR="006D2533" w:rsidRPr="006D2533" w14:paraId="64EA55FF" w14:textId="77777777">
        <w:trPr>
          <w:trHeight w:val="330"/>
          <w:jc w:val="center"/>
        </w:trPr>
        <w:tc>
          <w:tcPr>
            <w:tcW w:w="257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48D2B04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系统对接</w:t>
            </w: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6B80901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社保卡</w:t>
            </w:r>
            <w:proofErr w:type="gramStart"/>
            <w:r w:rsidRPr="006D2533">
              <w:rPr>
                <w:rFonts w:asciiTheme="minorEastAsia" w:hAnsiTheme="minorEastAsia" w:cs="宋体" w:hint="eastAsia"/>
                <w:sz w:val="24"/>
              </w:rPr>
              <w:t>一</w:t>
            </w:r>
            <w:proofErr w:type="gramEnd"/>
            <w:r w:rsidRPr="006D2533">
              <w:rPr>
                <w:rFonts w:asciiTheme="minorEastAsia" w:hAnsiTheme="minorEastAsia" w:cs="宋体" w:hint="eastAsia"/>
                <w:sz w:val="24"/>
              </w:rPr>
              <w:t>卡通对接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D3E28F3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4B5FE51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套</w:t>
            </w:r>
          </w:p>
        </w:tc>
      </w:tr>
      <w:tr w:rsidR="006D2533" w:rsidRPr="006D2533" w14:paraId="03B78192" w14:textId="77777777">
        <w:trPr>
          <w:trHeight w:val="285"/>
          <w:jc w:val="center"/>
        </w:trPr>
        <w:tc>
          <w:tcPr>
            <w:tcW w:w="257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0CF1F90C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银行业务对接</w:t>
            </w: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9EBF9EE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proofErr w:type="gramStart"/>
            <w:r w:rsidRPr="006D2533">
              <w:rPr>
                <w:rFonts w:asciiTheme="minorEastAsia" w:hAnsiTheme="minorEastAsia" w:cs="宋体" w:hint="eastAsia"/>
                <w:sz w:val="24"/>
              </w:rPr>
              <w:t>掌银</w:t>
            </w:r>
            <w:proofErr w:type="gramEnd"/>
            <w:r w:rsidRPr="006D2533">
              <w:rPr>
                <w:rFonts w:asciiTheme="minorEastAsia" w:hAnsiTheme="minorEastAsia" w:cs="宋体" w:hint="eastAsia"/>
                <w:sz w:val="24"/>
              </w:rPr>
              <w:t>APP业务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DFFE9F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37E777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套</w:t>
            </w:r>
          </w:p>
        </w:tc>
      </w:tr>
      <w:tr w:rsidR="006D2533" w:rsidRPr="006D2533" w14:paraId="73175943" w14:textId="77777777">
        <w:trPr>
          <w:trHeight w:val="285"/>
          <w:jc w:val="center"/>
        </w:trPr>
        <w:tc>
          <w:tcPr>
            <w:tcW w:w="25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31F28080" w14:textId="77777777" w:rsidR="008F2B77" w:rsidRPr="006D2533" w:rsidRDefault="008F2B77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388CC3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电子校园卡业务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77CDBA5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C033BBC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套</w:t>
            </w:r>
          </w:p>
        </w:tc>
      </w:tr>
      <w:tr w:rsidR="006D2533" w:rsidRPr="006D2533" w14:paraId="76E2819D" w14:textId="77777777">
        <w:trPr>
          <w:trHeight w:val="285"/>
          <w:jc w:val="center"/>
        </w:trPr>
        <w:tc>
          <w:tcPr>
            <w:tcW w:w="257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61C8417F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餐饮消费</w:t>
            </w: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857D2D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消费机（台式）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201198" w14:textId="6CB1095E" w:rsidR="008F2B77" w:rsidRPr="006D2533" w:rsidRDefault="009767EE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/>
                <w:sz w:val="24"/>
              </w:rPr>
              <w:t>8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F4FE3CA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</w:tr>
      <w:tr w:rsidR="006D2533" w:rsidRPr="006D2533" w14:paraId="24A354B5" w14:textId="77777777">
        <w:trPr>
          <w:trHeight w:val="285"/>
          <w:jc w:val="center"/>
        </w:trPr>
        <w:tc>
          <w:tcPr>
            <w:tcW w:w="25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6A935DF1" w14:textId="77777777" w:rsidR="008F2B77" w:rsidRPr="006D2533" w:rsidRDefault="008F2B77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287D4C5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消费机（挂式）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FFA6AD3" w14:textId="3383F23F" w:rsidR="008F2B77" w:rsidRPr="006D2533" w:rsidRDefault="009767EE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/>
                <w:sz w:val="24"/>
              </w:rPr>
              <w:t>40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4E0F1A6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</w:tr>
      <w:tr w:rsidR="006D2533" w:rsidRPr="006D2533" w14:paraId="213A2C32" w14:textId="77777777">
        <w:trPr>
          <w:trHeight w:val="285"/>
          <w:jc w:val="center"/>
        </w:trPr>
        <w:tc>
          <w:tcPr>
            <w:tcW w:w="25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28F570B5" w14:textId="77777777" w:rsidR="008F2B77" w:rsidRPr="006D2533" w:rsidRDefault="008F2B77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AF19822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接入交换机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1663C06" w14:textId="284A7A3B" w:rsidR="008F2B77" w:rsidRPr="006D2533" w:rsidRDefault="009767EE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/>
                <w:sz w:val="24"/>
              </w:rPr>
              <w:t>8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A198CC4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</w:tr>
      <w:tr w:rsidR="006D2533" w:rsidRPr="006D2533" w14:paraId="437E4647" w14:textId="77777777">
        <w:trPr>
          <w:trHeight w:val="285"/>
          <w:jc w:val="center"/>
        </w:trPr>
        <w:tc>
          <w:tcPr>
            <w:tcW w:w="2573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14:paraId="4FBE50B5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宿舍淋浴</w:t>
            </w: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32B01BA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数据采集器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3EE0B79" w14:textId="05069505" w:rsidR="008F2B77" w:rsidRPr="006D2533" w:rsidRDefault="009767EE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/>
                <w:sz w:val="24"/>
              </w:rPr>
              <w:t>15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3ADEB3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</w:tr>
      <w:tr w:rsidR="008F2B77" w:rsidRPr="006D2533" w14:paraId="4BF1CC3F" w14:textId="77777777">
        <w:trPr>
          <w:trHeight w:val="300"/>
          <w:jc w:val="center"/>
        </w:trPr>
        <w:tc>
          <w:tcPr>
            <w:tcW w:w="2573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14:paraId="5E5AF60C" w14:textId="77777777" w:rsidR="008F2B77" w:rsidRPr="006D2533" w:rsidRDefault="008F2B77">
            <w:pPr>
              <w:jc w:val="center"/>
              <w:rPr>
                <w:rFonts w:asciiTheme="minorEastAsia" w:hAnsiTheme="minorEastAsia" w:cs="宋体"/>
                <w:sz w:val="24"/>
              </w:rPr>
            </w:pPr>
          </w:p>
        </w:tc>
        <w:tc>
          <w:tcPr>
            <w:tcW w:w="348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29E058C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一体化水控器</w:t>
            </w:r>
          </w:p>
        </w:tc>
        <w:tc>
          <w:tcPr>
            <w:tcW w:w="132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347A7DF" w14:textId="741B2338" w:rsidR="008F2B77" w:rsidRPr="006D2533" w:rsidRDefault="009767EE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/>
                <w:sz w:val="24"/>
              </w:rPr>
              <w:t>720</w:t>
            </w:r>
          </w:p>
        </w:tc>
        <w:tc>
          <w:tcPr>
            <w:tcW w:w="161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EFFF1F3" w14:textId="77777777" w:rsidR="008F2B77" w:rsidRPr="006D2533" w:rsidRDefault="00DD52D2">
            <w:pPr>
              <w:jc w:val="center"/>
              <w:rPr>
                <w:rFonts w:asciiTheme="minorEastAsia" w:hAnsiTheme="minorEastAsia" w:cs="宋体"/>
                <w:sz w:val="24"/>
              </w:rPr>
            </w:pPr>
            <w:r w:rsidRPr="006D2533">
              <w:rPr>
                <w:rFonts w:asciiTheme="minorEastAsia" w:hAnsiTheme="minorEastAsia" w:cs="宋体" w:hint="eastAsia"/>
                <w:sz w:val="24"/>
              </w:rPr>
              <w:t>台</w:t>
            </w:r>
          </w:p>
        </w:tc>
      </w:tr>
    </w:tbl>
    <w:p w14:paraId="163565FB" w14:textId="77777777" w:rsidR="008F2B77" w:rsidRPr="006D2533" w:rsidRDefault="008F2B77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</w:p>
    <w:p w14:paraId="1996008A" w14:textId="2BD4A016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宋体" w:eastAsia="宋体" w:hAnsi="宋体" w:cs="宋体" w:hint="eastAsia"/>
          <w:sz w:val="30"/>
          <w:szCs w:val="30"/>
        </w:rPr>
        <w:t>★</w:t>
      </w:r>
      <w:r w:rsidR="000A679D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.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合作银行须承诺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按照汕头技师学院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确定的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社保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卡通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建设内容，投入承诺的费用，且项目投入建设校园信息化的所有软硬件设备产权归学校所有。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合作期限内，合作银行需提供社保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一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卡通软件功能免费升级服务，并提供所投入的硬件设备不少于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3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年的</w:t>
      </w:r>
      <w:proofErr w:type="gramStart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免费维保服务</w:t>
      </w:r>
      <w:proofErr w:type="gramEnd"/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。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 xml:space="preserve"> </w:t>
      </w:r>
    </w:p>
    <w:p w14:paraId="2A9F6402" w14:textId="18EA75F1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宋体" w:eastAsia="宋体" w:hAnsi="宋体" w:cs="宋体" w:hint="eastAsia"/>
          <w:sz w:val="30"/>
          <w:szCs w:val="30"/>
        </w:rPr>
        <w:t>★</w:t>
      </w:r>
      <w:r w:rsidR="000A679D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.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与合作银行自身业务有关的银行网点、银行自助设备、自助银行、卡</w:t>
      </w:r>
      <w:proofErr w:type="gramStart"/>
      <w:r w:rsidRPr="006D2533">
        <w:rPr>
          <w:rFonts w:ascii="Times New Roman" w:eastAsia="方正仿宋简体" w:hAnsi="Times New Roman" w:cs="Times New Roman"/>
          <w:sz w:val="30"/>
          <w:szCs w:val="30"/>
        </w:rPr>
        <w:t>务</w:t>
      </w:r>
      <w:proofErr w:type="gramEnd"/>
      <w:r w:rsidRPr="006D2533">
        <w:rPr>
          <w:rFonts w:ascii="Times New Roman" w:eastAsia="方正仿宋简体" w:hAnsi="Times New Roman" w:cs="Times New Roman"/>
          <w:sz w:val="30"/>
          <w:szCs w:val="30"/>
        </w:rPr>
        <w:t>办理大厅装修等项目建设及后续运</w:t>
      </w:r>
      <w:proofErr w:type="gramStart"/>
      <w:r w:rsidRPr="006D2533">
        <w:rPr>
          <w:rFonts w:ascii="Times New Roman" w:eastAsia="方正仿宋简体" w:hAnsi="Times New Roman" w:cs="Times New Roman"/>
          <w:sz w:val="30"/>
          <w:szCs w:val="30"/>
        </w:rPr>
        <w:t>维费用</w:t>
      </w:r>
      <w:proofErr w:type="gramEnd"/>
      <w:r w:rsidRPr="006D2533">
        <w:rPr>
          <w:rFonts w:ascii="Times New Roman" w:eastAsia="方正仿宋简体" w:hAnsi="Times New Roman" w:cs="Times New Roman"/>
          <w:sz w:val="30"/>
          <w:szCs w:val="30"/>
        </w:rPr>
        <w:t>支出不包含在本项目投资总额中，由合作银行根据自身业务发展需求另行安排资金。</w:t>
      </w:r>
    </w:p>
    <w:p w14:paraId="3FCC6B35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11.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其他商务要求：</w:t>
      </w:r>
    </w:p>
    <w:p w14:paraId="203998DD" w14:textId="77777777" w:rsidR="008F2B77" w:rsidRPr="006D2533" w:rsidRDefault="00DD52D2">
      <w:pPr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 xml:space="preserve">    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合作银行为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汕头技师学院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的基本户开户行，负责按规定办理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lastRenderedPageBreak/>
        <w:t>汕头技师学院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结算业务，并提供包括但不限于以下的各项服务：</w:t>
      </w:r>
    </w:p>
    <w:p w14:paraId="5CAA0A22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）免收师生的银行卡首发工本费，</w:t>
      </w:r>
      <w:proofErr w:type="gramStart"/>
      <w:r w:rsidRPr="006D2533">
        <w:rPr>
          <w:rFonts w:ascii="Times New Roman" w:eastAsia="方正仿宋简体" w:hAnsi="Times New Roman" w:cs="Times New Roman"/>
          <w:sz w:val="30"/>
          <w:szCs w:val="30"/>
        </w:rPr>
        <w:t>补办卡</w:t>
      </w:r>
      <w:proofErr w:type="gramEnd"/>
      <w:r w:rsidRPr="006D2533">
        <w:rPr>
          <w:rFonts w:ascii="Times New Roman" w:eastAsia="方正仿宋简体" w:hAnsi="Times New Roman" w:cs="Times New Roman"/>
          <w:sz w:val="30"/>
          <w:szCs w:val="30"/>
        </w:rPr>
        <w:t>工本费收费标准应符合政府有关收费标准，且换卡时除工本费之外不再另外收取其他费用。免收银行卡账户管理费，并提供白金卡、理财定制服务、专属贵宾通道等师生优惠服务。</w:t>
      </w:r>
    </w:p>
    <w:p w14:paraId="0253AEDF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2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）提供专员负责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汕头技师学院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相关业务，提供对公业务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VIP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通道、提供师生专柜业务处理服务。</w:t>
      </w:r>
    </w:p>
    <w:p w14:paraId="5F683F6E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3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汕头技师学院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发生的银行收</w:t>
      </w:r>
      <w:proofErr w:type="gramStart"/>
      <w:r w:rsidRPr="006D2533">
        <w:rPr>
          <w:rFonts w:ascii="Times New Roman" w:eastAsia="方正仿宋简体" w:hAnsi="Times New Roman" w:cs="Times New Roman"/>
          <w:sz w:val="30"/>
          <w:szCs w:val="30"/>
        </w:rPr>
        <w:t>付业务</w:t>
      </w:r>
      <w:proofErr w:type="gramEnd"/>
      <w:r w:rsidRPr="006D2533">
        <w:rPr>
          <w:rFonts w:ascii="Times New Roman" w:eastAsia="方正仿宋简体" w:hAnsi="Times New Roman" w:cs="Times New Roman"/>
          <w:sz w:val="30"/>
          <w:szCs w:val="30"/>
        </w:rPr>
        <w:t>免手续费，政策不允许免费的</w:t>
      </w:r>
      <w:proofErr w:type="gramStart"/>
      <w:r w:rsidRPr="006D2533">
        <w:rPr>
          <w:rFonts w:ascii="Times New Roman" w:eastAsia="方正仿宋简体" w:hAnsi="Times New Roman" w:cs="Times New Roman"/>
          <w:sz w:val="30"/>
          <w:szCs w:val="30"/>
        </w:rPr>
        <w:t>按包年</w:t>
      </w:r>
      <w:proofErr w:type="gramEnd"/>
      <w:r w:rsidRPr="006D2533">
        <w:rPr>
          <w:rFonts w:ascii="Times New Roman" w:eastAsia="方正仿宋简体" w:hAnsi="Times New Roman" w:cs="Times New Roman"/>
          <w:sz w:val="30"/>
          <w:szCs w:val="30"/>
        </w:rPr>
        <w:t>方式收费。</w:t>
      </w:r>
    </w:p>
    <w:p w14:paraId="3D56556D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4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）支持奖助学金</w:t>
      </w:r>
      <w:r w:rsidR="00B2055C" w:rsidRPr="006D2533">
        <w:rPr>
          <w:rFonts w:ascii="Times New Roman" w:eastAsia="方正仿宋简体" w:hAnsi="Times New Roman" w:cs="Times New Roman" w:hint="eastAsia"/>
          <w:sz w:val="30"/>
          <w:szCs w:val="30"/>
        </w:rPr>
        <w:t>或其他代发</w:t>
      </w:r>
      <w:proofErr w:type="gramStart"/>
      <w:r w:rsidR="00B2055C" w:rsidRPr="006D2533">
        <w:rPr>
          <w:rFonts w:ascii="Times New Roman" w:eastAsia="方正仿宋简体" w:hAnsi="Times New Roman" w:cs="Times New Roman" w:hint="eastAsia"/>
          <w:sz w:val="30"/>
          <w:szCs w:val="30"/>
        </w:rPr>
        <w:t>等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网银批量</w:t>
      </w:r>
      <w:proofErr w:type="gramEnd"/>
      <w:r w:rsidRPr="006D2533">
        <w:rPr>
          <w:rFonts w:ascii="Times New Roman" w:eastAsia="方正仿宋简体" w:hAnsi="Times New Roman" w:cs="Times New Roman"/>
          <w:sz w:val="30"/>
          <w:szCs w:val="30"/>
        </w:rPr>
        <w:t>发放</w:t>
      </w:r>
      <w:r w:rsidR="00B2055C" w:rsidRPr="006D2533">
        <w:rPr>
          <w:rFonts w:ascii="Times New Roman" w:eastAsia="方正仿宋简体" w:hAnsi="Times New Roman" w:cs="Times New Roman" w:hint="eastAsia"/>
          <w:sz w:val="30"/>
          <w:szCs w:val="30"/>
        </w:rPr>
        <w:t>功能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14:paraId="341807BF" w14:textId="77777777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）实现活期存款户金额达到一定额度后，设定金额自动转存协定存款。</w:t>
      </w:r>
    </w:p>
    <w:p w14:paraId="28CE9602" w14:textId="585D246E" w:rsidR="00CD6A99" w:rsidRPr="006D2533" w:rsidRDefault="00CD6A99" w:rsidP="00CD6A99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6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</w:t>
      </w:r>
      <w:r w:rsidRPr="006D2533">
        <w:rPr>
          <w:rFonts w:ascii="Times New Roman" w:eastAsia="方正仿宋简体" w:hAnsi="Times New Roman" w:cs="Times New Roman" w:hint="eastAsia"/>
          <w:sz w:val="30"/>
          <w:szCs w:val="30"/>
        </w:rPr>
        <w:t>提供到学院各校区的上门办卡服务。</w:t>
      </w:r>
    </w:p>
    <w:p w14:paraId="18EDF95D" w14:textId="4FEA51DC" w:rsidR="008F2B77" w:rsidRPr="006D2533" w:rsidRDefault="00DD52D2">
      <w:pPr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6D2533">
        <w:rPr>
          <w:rFonts w:ascii="Times New Roman" w:eastAsia="方正仿宋简体" w:hAnsi="Times New Roman" w:cs="Times New Roman"/>
          <w:sz w:val="30"/>
          <w:szCs w:val="30"/>
        </w:rPr>
        <w:t>（</w:t>
      </w:r>
      <w:r w:rsidR="00CD6A99" w:rsidRPr="006D2533">
        <w:rPr>
          <w:rFonts w:ascii="Times New Roman" w:eastAsia="方正仿宋简体" w:hAnsi="Times New Roman" w:cs="Times New Roman"/>
          <w:sz w:val="30"/>
          <w:szCs w:val="30"/>
        </w:rPr>
        <w:t>7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）新生</w:t>
      </w:r>
      <w:proofErr w:type="gramStart"/>
      <w:r w:rsidRPr="006D2533">
        <w:rPr>
          <w:rFonts w:ascii="Times New Roman" w:eastAsia="方正仿宋简体" w:hAnsi="Times New Roman" w:cs="Times New Roman"/>
          <w:sz w:val="30"/>
          <w:szCs w:val="30"/>
        </w:rPr>
        <w:t>批量开</w:t>
      </w:r>
      <w:proofErr w:type="gramEnd"/>
      <w:r w:rsidRPr="006D2533">
        <w:rPr>
          <w:rFonts w:ascii="Times New Roman" w:eastAsia="方正仿宋简体" w:hAnsi="Times New Roman" w:cs="Times New Roman"/>
          <w:sz w:val="30"/>
          <w:szCs w:val="30"/>
        </w:rPr>
        <w:t>卡时间须在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5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个工作日内完成，</w:t>
      </w:r>
      <w:proofErr w:type="gramStart"/>
      <w:r w:rsidRPr="006D2533">
        <w:rPr>
          <w:rFonts w:ascii="Times New Roman" w:eastAsia="方正仿宋简体" w:hAnsi="Times New Roman" w:cs="Times New Roman"/>
          <w:sz w:val="30"/>
          <w:szCs w:val="30"/>
        </w:rPr>
        <w:t>批量开</w:t>
      </w:r>
      <w:proofErr w:type="gramEnd"/>
      <w:r w:rsidRPr="006D2533">
        <w:rPr>
          <w:rFonts w:ascii="Times New Roman" w:eastAsia="方正仿宋简体" w:hAnsi="Times New Roman" w:cs="Times New Roman"/>
          <w:sz w:val="30"/>
          <w:szCs w:val="30"/>
        </w:rPr>
        <w:t>卡、发卡、激活</w:t>
      </w:r>
      <w:r w:rsidR="00B2055C" w:rsidRPr="006D2533">
        <w:rPr>
          <w:rFonts w:ascii="Times New Roman" w:eastAsia="方正仿宋简体" w:hAnsi="Times New Roman" w:cs="Times New Roman" w:hint="eastAsia"/>
          <w:sz w:val="30"/>
          <w:szCs w:val="30"/>
        </w:rPr>
        <w:t>、开通金融功能</w:t>
      </w:r>
      <w:r w:rsidRPr="006D2533">
        <w:rPr>
          <w:rFonts w:ascii="Times New Roman" w:eastAsia="方正仿宋简体" w:hAnsi="Times New Roman" w:cs="Times New Roman"/>
          <w:sz w:val="30"/>
          <w:szCs w:val="30"/>
        </w:rPr>
        <w:t>等业务须在两周内完成。</w:t>
      </w:r>
    </w:p>
    <w:sectPr w:rsidR="008F2B77" w:rsidRPr="006D25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0C1C" w14:textId="77777777" w:rsidR="00F24DB8" w:rsidRDefault="00F24DB8">
      <w:r>
        <w:separator/>
      </w:r>
    </w:p>
  </w:endnote>
  <w:endnote w:type="continuationSeparator" w:id="0">
    <w:p w14:paraId="4CF94D35" w14:textId="77777777" w:rsidR="00F24DB8" w:rsidRDefault="00F2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56AE4" w14:textId="77777777" w:rsidR="008F2B77" w:rsidRDefault="00DD52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2BA35" wp14:editId="169E67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7620F" w14:textId="77777777" w:rsidR="008F2B77" w:rsidRDefault="00DD52D2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2055C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2BA3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5E7620F" w14:textId="77777777" w:rsidR="008F2B77" w:rsidRDefault="00DD52D2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2055C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5CF4" w14:textId="77777777" w:rsidR="00F24DB8" w:rsidRDefault="00F24DB8">
      <w:r>
        <w:separator/>
      </w:r>
    </w:p>
  </w:footnote>
  <w:footnote w:type="continuationSeparator" w:id="0">
    <w:p w14:paraId="3E63F92F" w14:textId="77777777" w:rsidR="00F24DB8" w:rsidRDefault="00F2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NmZjQ0MjFmZjk5M2ZkZGVhZGFlYzFhOTEyNmVlMWUifQ=="/>
  </w:docVars>
  <w:rsids>
    <w:rsidRoot w:val="07555689"/>
    <w:rsid w:val="000419AD"/>
    <w:rsid w:val="00063B48"/>
    <w:rsid w:val="000973C6"/>
    <w:rsid w:val="000A679D"/>
    <w:rsid w:val="000C509E"/>
    <w:rsid w:val="000C6872"/>
    <w:rsid w:val="00110C42"/>
    <w:rsid w:val="0011180D"/>
    <w:rsid w:val="00112CF8"/>
    <w:rsid w:val="001E6CAC"/>
    <w:rsid w:val="00273E8D"/>
    <w:rsid w:val="0027709F"/>
    <w:rsid w:val="00334430"/>
    <w:rsid w:val="00396B47"/>
    <w:rsid w:val="003C016B"/>
    <w:rsid w:val="004551A8"/>
    <w:rsid w:val="00457951"/>
    <w:rsid w:val="004B0DAD"/>
    <w:rsid w:val="0055378E"/>
    <w:rsid w:val="0061137A"/>
    <w:rsid w:val="0061285F"/>
    <w:rsid w:val="00676A05"/>
    <w:rsid w:val="0069535D"/>
    <w:rsid w:val="006B051B"/>
    <w:rsid w:val="006C1AEB"/>
    <w:rsid w:val="006D2533"/>
    <w:rsid w:val="006D40E3"/>
    <w:rsid w:val="006E6169"/>
    <w:rsid w:val="007343BE"/>
    <w:rsid w:val="00773DFD"/>
    <w:rsid w:val="00865EEC"/>
    <w:rsid w:val="008A2747"/>
    <w:rsid w:val="008F2B77"/>
    <w:rsid w:val="00903091"/>
    <w:rsid w:val="0094268B"/>
    <w:rsid w:val="00956368"/>
    <w:rsid w:val="009767EE"/>
    <w:rsid w:val="009875B5"/>
    <w:rsid w:val="00A25285"/>
    <w:rsid w:val="00A3477C"/>
    <w:rsid w:val="00B2055C"/>
    <w:rsid w:val="00B466E0"/>
    <w:rsid w:val="00B55CA4"/>
    <w:rsid w:val="00B80C0A"/>
    <w:rsid w:val="00B84F29"/>
    <w:rsid w:val="00BE196C"/>
    <w:rsid w:val="00C43579"/>
    <w:rsid w:val="00C61A80"/>
    <w:rsid w:val="00C63324"/>
    <w:rsid w:val="00CD6A99"/>
    <w:rsid w:val="00D26FBB"/>
    <w:rsid w:val="00D377D4"/>
    <w:rsid w:val="00DD52D2"/>
    <w:rsid w:val="00E131A7"/>
    <w:rsid w:val="00E71E86"/>
    <w:rsid w:val="00E90C3A"/>
    <w:rsid w:val="00E9134E"/>
    <w:rsid w:val="00EF2C62"/>
    <w:rsid w:val="00F24DB8"/>
    <w:rsid w:val="00F72433"/>
    <w:rsid w:val="00FC6AB2"/>
    <w:rsid w:val="02777B9B"/>
    <w:rsid w:val="042A1BCA"/>
    <w:rsid w:val="056621AB"/>
    <w:rsid w:val="07341AD0"/>
    <w:rsid w:val="07555689"/>
    <w:rsid w:val="087C1E01"/>
    <w:rsid w:val="09C33DCF"/>
    <w:rsid w:val="0AC900C6"/>
    <w:rsid w:val="0AF3003D"/>
    <w:rsid w:val="0C0D512F"/>
    <w:rsid w:val="0C42693F"/>
    <w:rsid w:val="0C566AD6"/>
    <w:rsid w:val="0CAD06C0"/>
    <w:rsid w:val="0CF45E0B"/>
    <w:rsid w:val="0D2070E4"/>
    <w:rsid w:val="0DBF6EF0"/>
    <w:rsid w:val="0E992F57"/>
    <w:rsid w:val="0FE64FBD"/>
    <w:rsid w:val="10102F09"/>
    <w:rsid w:val="1249592F"/>
    <w:rsid w:val="12FB052F"/>
    <w:rsid w:val="14A64ABE"/>
    <w:rsid w:val="17BE19D3"/>
    <w:rsid w:val="18A92C49"/>
    <w:rsid w:val="19D74D4C"/>
    <w:rsid w:val="1A3A7671"/>
    <w:rsid w:val="1A864A2A"/>
    <w:rsid w:val="1BA662C3"/>
    <w:rsid w:val="1C0320AA"/>
    <w:rsid w:val="1CD20A38"/>
    <w:rsid w:val="1D49348E"/>
    <w:rsid w:val="1D9135E0"/>
    <w:rsid w:val="1EDA2D9E"/>
    <w:rsid w:val="219A506E"/>
    <w:rsid w:val="21E87D78"/>
    <w:rsid w:val="22761828"/>
    <w:rsid w:val="233170DC"/>
    <w:rsid w:val="249146F7"/>
    <w:rsid w:val="24F56782"/>
    <w:rsid w:val="251B19BF"/>
    <w:rsid w:val="25842358"/>
    <w:rsid w:val="25CC175F"/>
    <w:rsid w:val="2A135BAE"/>
    <w:rsid w:val="2DAA081C"/>
    <w:rsid w:val="2F6057B0"/>
    <w:rsid w:val="31193BDA"/>
    <w:rsid w:val="31216E03"/>
    <w:rsid w:val="33694AB3"/>
    <w:rsid w:val="337F42B4"/>
    <w:rsid w:val="33AA0BE4"/>
    <w:rsid w:val="372F1B4E"/>
    <w:rsid w:val="3C2974B3"/>
    <w:rsid w:val="3C3D6ABB"/>
    <w:rsid w:val="3DCD3DD2"/>
    <w:rsid w:val="3E5C76CC"/>
    <w:rsid w:val="3FC27393"/>
    <w:rsid w:val="41AF7158"/>
    <w:rsid w:val="43433935"/>
    <w:rsid w:val="43C024AB"/>
    <w:rsid w:val="44C017FA"/>
    <w:rsid w:val="47BD04C8"/>
    <w:rsid w:val="4B851502"/>
    <w:rsid w:val="50271603"/>
    <w:rsid w:val="507F4DF2"/>
    <w:rsid w:val="50E357F0"/>
    <w:rsid w:val="511743BE"/>
    <w:rsid w:val="5151566B"/>
    <w:rsid w:val="51A435DC"/>
    <w:rsid w:val="542609A7"/>
    <w:rsid w:val="5A70032F"/>
    <w:rsid w:val="5E4A0E97"/>
    <w:rsid w:val="5FB73AC3"/>
    <w:rsid w:val="619809B6"/>
    <w:rsid w:val="63691DC0"/>
    <w:rsid w:val="63F76C1B"/>
    <w:rsid w:val="643F05F8"/>
    <w:rsid w:val="654707FE"/>
    <w:rsid w:val="65753BD3"/>
    <w:rsid w:val="65DF45BB"/>
    <w:rsid w:val="666D4CF7"/>
    <w:rsid w:val="68CF6B69"/>
    <w:rsid w:val="68EC6858"/>
    <w:rsid w:val="6FF65B2A"/>
    <w:rsid w:val="70DC6DC3"/>
    <w:rsid w:val="7AC676A0"/>
    <w:rsid w:val="7AEB721A"/>
    <w:rsid w:val="7CA92159"/>
    <w:rsid w:val="7DEF1521"/>
    <w:rsid w:val="7E4E4E81"/>
    <w:rsid w:val="7EC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CC9AF"/>
  <w15:docId w15:val="{D0B34FB6-2541-4D1F-A875-B68F903A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2">
    <w:name w:val="toc 2"/>
    <w:basedOn w:val="a"/>
    <w:next w:val="a"/>
    <w:qFormat/>
    <w:pPr>
      <w:ind w:leftChars="200" w:left="420"/>
    </w:p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BF3D12-E5DA-4F70-BD2D-F835B324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343</Words>
  <Characters>1957</Characters>
  <Application>Microsoft Office Word</Application>
  <DocSecurity>0</DocSecurity>
  <Lines>16</Lines>
  <Paragraphs>4</Paragraphs>
  <ScaleCrop>false</ScaleCrop>
  <Company>MS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文 肖</cp:lastModifiedBy>
  <cp:revision>9</cp:revision>
  <dcterms:created xsi:type="dcterms:W3CDTF">2023-10-09T03:18:00Z</dcterms:created>
  <dcterms:modified xsi:type="dcterms:W3CDTF">2023-10-09T07:14:00Z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B11E559E73D64F22BCBA13E65C0F16C0</vt:lpwstr>
  </property>
</Properties>
</file>